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3C" w:rsidRPr="00891A3C" w:rsidRDefault="00891A3C" w:rsidP="00891A3C">
      <w:pPr>
        <w:shd w:val="clear" w:color="auto" w:fill="FFFFFF"/>
        <w:spacing w:after="300" w:line="240" w:lineRule="auto"/>
        <w:outlineLvl w:val="1"/>
        <w:rPr>
          <w:rFonts w:ascii="Arial" w:eastAsia="Times New Roman" w:hAnsi="Arial" w:cs="Arial"/>
          <w:b/>
          <w:bCs/>
          <w:color w:val="000000"/>
          <w:sz w:val="36"/>
          <w:szCs w:val="36"/>
          <w:lang w:eastAsia="ru-RU"/>
        </w:rPr>
      </w:pPr>
      <w:r w:rsidRPr="00891A3C">
        <w:rPr>
          <w:rFonts w:ascii="Arial" w:eastAsia="Times New Roman" w:hAnsi="Arial" w:cs="Arial"/>
          <w:b/>
          <w:bCs/>
          <w:color w:val="000000"/>
          <w:sz w:val="36"/>
          <w:szCs w:val="36"/>
          <w:lang w:eastAsia="ru-RU"/>
        </w:rPr>
        <w:t>Справка по ВИЧ-инфекции в Российской Федерации за 10 месяцев 2017 года</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По состоянию на 1 ноября 2017 г. кумулятивное количество зарегистрированных случаев ВИЧ-инфекции среди граждан Российской Федерации составило </w:t>
      </w:r>
      <w:r w:rsidRPr="00891A3C">
        <w:rPr>
          <w:rFonts w:ascii="Arial" w:eastAsia="Times New Roman" w:hAnsi="Arial" w:cs="Arial"/>
          <w:b/>
          <w:bCs/>
          <w:color w:val="000000"/>
          <w:sz w:val="21"/>
          <w:szCs w:val="21"/>
          <w:lang w:eastAsia="ru-RU"/>
        </w:rPr>
        <w:t>1 193 </w:t>
      </w:r>
      <w:proofErr w:type="gramStart"/>
      <w:r w:rsidRPr="00891A3C">
        <w:rPr>
          <w:rFonts w:ascii="Arial" w:eastAsia="Times New Roman" w:hAnsi="Arial" w:cs="Arial"/>
          <w:b/>
          <w:bCs/>
          <w:color w:val="000000"/>
          <w:sz w:val="21"/>
          <w:szCs w:val="21"/>
          <w:lang w:eastAsia="ru-RU"/>
        </w:rPr>
        <w:t>890</w:t>
      </w:r>
      <w:r w:rsidRPr="00891A3C">
        <w:rPr>
          <w:rFonts w:ascii="Arial" w:eastAsia="Times New Roman" w:hAnsi="Arial" w:cs="Arial"/>
          <w:color w:val="000000"/>
          <w:sz w:val="21"/>
          <w:szCs w:val="21"/>
          <w:lang w:eastAsia="ru-RU"/>
        </w:rPr>
        <w:t>  человек</w:t>
      </w:r>
      <w:proofErr w:type="gramEnd"/>
      <w:r w:rsidRPr="00891A3C">
        <w:rPr>
          <w:rFonts w:ascii="Arial" w:eastAsia="Times New Roman" w:hAnsi="Arial" w:cs="Arial"/>
          <w:color w:val="000000"/>
          <w:sz w:val="21"/>
          <w:szCs w:val="21"/>
          <w:lang w:eastAsia="ru-RU"/>
        </w:rPr>
        <w:t xml:space="preserve"> (по предварительным данным), в </w:t>
      </w:r>
      <w:proofErr w:type="spellStart"/>
      <w:r w:rsidRPr="00891A3C">
        <w:rPr>
          <w:rFonts w:ascii="Arial" w:eastAsia="Times New Roman" w:hAnsi="Arial" w:cs="Arial"/>
          <w:color w:val="000000"/>
          <w:sz w:val="21"/>
          <w:szCs w:val="21"/>
          <w:lang w:eastAsia="ru-RU"/>
        </w:rPr>
        <w:t>т.ч</w:t>
      </w:r>
      <w:proofErr w:type="spellEnd"/>
      <w:r w:rsidRPr="00891A3C">
        <w:rPr>
          <w:rFonts w:ascii="Arial" w:eastAsia="Times New Roman" w:hAnsi="Arial" w:cs="Arial"/>
          <w:color w:val="000000"/>
          <w:sz w:val="21"/>
          <w:szCs w:val="21"/>
          <w:lang w:eastAsia="ru-RU"/>
        </w:rPr>
        <w:t>. 520 тыс. в 2012-2017 гг. Из них умерло по разным причинам </w:t>
      </w:r>
      <w:r w:rsidRPr="00891A3C">
        <w:rPr>
          <w:rFonts w:ascii="Arial" w:eastAsia="Times New Roman" w:hAnsi="Arial" w:cs="Arial"/>
          <w:b/>
          <w:bCs/>
          <w:color w:val="000000"/>
          <w:sz w:val="21"/>
          <w:szCs w:val="21"/>
          <w:lang w:eastAsia="ru-RU"/>
        </w:rPr>
        <w:t>269 282</w:t>
      </w:r>
      <w:r w:rsidRPr="00891A3C">
        <w:rPr>
          <w:rFonts w:ascii="Arial" w:eastAsia="Times New Roman" w:hAnsi="Arial" w:cs="Arial"/>
          <w:color w:val="000000"/>
          <w:sz w:val="21"/>
          <w:szCs w:val="21"/>
          <w:lang w:eastAsia="ru-RU"/>
        </w:rPr>
        <w:t xml:space="preserve"> ВИЧ-инфицированных по данным формы мониторинга </w:t>
      </w:r>
      <w:proofErr w:type="spellStart"/>
      <w:r w:rsidRPr="00891A3C">
        <w:rPr>
          <w:rFonts w:ascii="Arial" w:eastAsia="Times New Roman" w:hAnsi="Arial" w:cs="Arial"/>
          <w:color w:val="000000"/>
          <w:sz w:val="21"/>
          <w:szCs w:val="21"/>
          <w:lang w:eastAsia="ru-RU"/>
        </w:rPr>
        <w:t>Роспотребнадзора</w:t>
      </w:r>
      <w:proofErr w:type="spellEnd"/>
      <w:r w:rsidRPr="00891A3C">
        <w:rPr>
          <w:rFonts w:ascii="Arial" w:eastAsia="Times New Roman" w:hAnsi="Arial" w:cs="Arial"/>
          <w:color w:val="000000"/>
          <w:sz w:val="21"/>
          <w:szCs w:val="21"/>
          <w:lang w:eastAsia="ru-RU"/>
        </w:rPr>
        <w:t xml:space="preserve"> «Сведения о мероприятиях по профилактике ВИЧ-инфекции, гепатитов В и С, выявлению и лечению больных ВИЧ». Жили с диагнозом ВИЧ-инфекция в ноябре 2017 г. </w:t>
      </w:r>
      <w:r w:rsidRPr="00891A3C">
        <w:rPr>
          <w:rFonts w:ascii="Arial" w:eastAsia="Times New Roman" w:hAnsi="Arial" w:cs="Arial"/>
          <w:b/>
          <w:bCs/>
          <w:color w:val="000000"/>
          <w:sz w:val="21"/>
          <w:szCs w:val="21"/>
          <w:lang w:eastAsia="ru-RU"/>
        </w:rPr>
        <w:t>924 608</w:t>
      </w:r>
      <w:r w:rsidRPr="00891A3C">
        <w:rPr>
          <w:rFonts w:ascii="Arial" w:eastAsia="Times New Roman" w:hAnsi="Arial" w:cs="Arial"/>
          <w:color w:val="000000"/>
          <w:sz w:val="21"/>
          <w:szCs w:val="21"/>
          <w:lang w:eastAsia="ru-RU"/>
        </w:rPr>
        <w:t> россиян.</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 xml:space="preserve">За первые 10 </w:t>
      </w:r>
      <w:proofErr w:type="gramStart"/>
      <w:r w:rsidRPr="00891A3C">
        <w:rPr>
          <w:rFonts w:ascii="Arial" w:eastAsia="Times New Roman" w:hAnsi="Arial" w:cs="Arial"/>
          <w:color w:val="000000"/>
          <w:sz w:val="21"/>
          <w:szCs w:val="21"/>
          <w:lang w:eastAsia="ru-RU"/>
        </w:rPr>
        <w:t>месяцев  2017</w:t>
      </w:r>
      <w:proofErr w:type="gramEnd"/>
      <w:r w:rsidRPr="00891A3C">
        <w:rPr>
          <w:rFonts w:ascii="Arial" w:eastAsia="Times New Roman" w:hAnsi="Arial" w:cs="Arial"/>
          <w:color w:val="000000"/>
          <w:sz w:val="21"/>
          <w:szCs w:val="21"/>
          <w:lang w:eastAsia="ru-RU"/>
        </w:rPr>
        <w:t xml:space="preserve"> г. территориальными центрами по профилактике и борьбе со СПИД было сообщено о </w:t>
      </w:r>
      <w:r w:rsidRPr="00891A3C">
        <w:rPr>
          <w:rFonts w:ascii="Arial" w:eastAsia="Times New Roman" w:hAnsi="Arial" w:cs="Arial"/>
          <w:b/>
          <w:bCs/>
          <w:color w:val="000000"/>
          <w:sz w:val="21"/>
          <w:szCs w:val="21"/>
          <w:lang w:eastAsia="ru-RU"/>
        </w:rPr>
        <w:t>79 075</w:t>
      </w:r>
      <w:r w:rsidRPr="00891A3C">
        <w:rPr>
          <w:rFonts w:ascii="Arial" w:eastAsia="Times New Roman" w:hAnsi="Arial" w:cs="Arial"/>
          <w:color w:val="000000"/>
          <w:sz w:val="21"/>
          <w:szCs w:val="21"/>
          <w:lang w:eastAsia="ru-RU"/>
        </w:rPr>
        <w:t> новых случаях ВИЧ-инфекции, исключая выявленных анонимно и иностранных граждан, что на 2,9% больше, чем за аналогичный период 2016 г. Количество новых случаев ВИЧ-инфекции продолжает расти (2014 – 89 808, 2015 г. – 98 232, 2016 г. – 103 438). В 2011-2015 годах ежегодный прирост количества новых выявленных случаев инфицирования ВИЧ составлял в среднем 10%, в 2016 г. – 5,3%.</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 xml:space="preserve">Показатель заболеваемости </w:t>
      </w:r>
      <w:proofErr w:type="gramStart"/>
      <w:r w:rsidRPr="00891A3C">
        <w:rPr>
          <w:rFonts w:ascii="Arial" w:eastAsia="Times New Roman" w:hAnsi="Arial" w:cs="Arial"/>
          <w:color w:val="000000"/>
          <w:sz w:val="21"/>
          <w:szCs w:val="21"/>
          <w:lang w:eastAsia="ru-RU"/>
        </w:rPr>
        <w:t>в  2017</w:t>
      </w:r>
      <w:proofErr w:type="gramEnd"/>
      <w:r w:rsidRPr="00891A3C">
        <w:rPr>
          <w:rFonts w:ascii="Arial" w:eastAsia="Times New Roman" w:hAnsi="Arial" w:cs="Arial"/>
          <w:color w:val="000000"/>
          <w:sz w:val="21"/>
          <w:szCs w:val="21"/>
          <w:lang w:eastAsia="ru-RU"/>
        </w:rPr>
        <w:t xml:space="preserve"> г. составил 53,9 на 100 тыс. населения (в 2016 г. – 52,4). В 2017 г. по показателю заболеваемости в Российской Федерации лидировали: Кемеровская область (зарегистрировано 174,5 новых случаев ВИЧ-инфекции на 100 тыс. населения), Иркутская (134,0), Свердловская (128,1), Владимирская (124,6) области, Пермский край (115,3), Новосибирская (115,1), Тюменская (109,2) Челябинская (109,1), Томская (104,6), Курганская (99,3) области, Красноярский край (97,0), Оренбургская область (96,3), Алтайский край  (85,8), Омская (84,8), Самарская (84,2) области, Республика Крым (79,0), Ханты-Мансийский автономный округ (75,0), Ульяновская область (72,3), Республика Хакасия (71,0), Удмуртская Республика (69,2).</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Пораженность ВИЧ-инфекцией на 1 ноября 2017 г. составила 629,8 на 100 тыс. населения России. Случаи ВИЧ-инфекции зарегистрированы во всех субъектах Российской Федерации. Высокая пораженность ВИЧ-инфекцией (более 0,5% от всей популяции) зарегистрирована в 33 наиболее крупных и преимущественно экономически успешных регионах, где проживало 50,6% населения страны. </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К наиболее пораженным субъектам Российской Федерации относятся: Иркутская (зарегистрировано 1738,2 живущих с ВИЧ на 100 тыс. населения), Свердловская (1704,3), Кемеровская (1630,7), Самарская (1473,3), Тюменская (1393,3), Оренбургская (1284,7) области, Ханты-Мансийский автономный округ (1225,8), Челябинская (1198,0), Новосибирская (1104,3) области, Пермский край (1073,7), Республика Крым (1037,9), Ульяновская область (960,1), Алтайский край (902,7), г. Санкт-Петербург (880,4), Ленинградская область (872,9), Красноярский край (853,4), Томская (835,1), Курганская (823,4), Тверская (771,8), Омская (737,5) области.</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В Российской Федерации среди ВИЧ-инфицированных по-прежнему преобладали мужчины (62,9%). В 2017 г. среди новых случаев ВИЧ-инфекции женщины составляли 37,6%.</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 xml:space="preserve">Продолжало наблюдаться перемещение эпидемии в более старшие возрастные группы. В 2000 г.  87% больных получали диагноз ВИЧ-инфекции до 30 лет. На долю подростков и молодежи в возрасте 15-20 лет в 2000 г. приходилось 25% вновь выявленных случаев ВИЧ-инфекции, в 2017 году эта группа составила лишь 1%.  В 2017 г. ВИЧ-инфекция преимущественно </w:t>
      </w:r>
      <w:r w:rsidRPr="00891A3C">
        <w:rPr>
          <w:rFonts w:ascii="Arial" w:eastAsia="Times New Roman" w:hAnsi="Arial" w:cs="Arial"/>
          <w:color w:val="000000"/>
          <w:sz w:val="21"/>
          <w:szCs w:val="21"/>
          <w:lang w:eastAsia="ru-RU"/>
        </w:rPr>
        <w:lastRenderedPageBreak/>
        <w:t>выявлялась у россиян в возрасте 30-40 лет (47%) и 40-50 лет (22%), доля молодежи в возрасте 20-30 лет сократилась до 20%. Увеличение доли новых выявленных случаев наблюдалось и в более старших возрастных группах, участились случаи заражения ВИЧ-инфекцией половым путем в преклонном возрасте.</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В первые 10 месяцев 2017 г. в Российской Федерации умерло 24 </w:t>
      </w:r>
      <w:proofErr w:type="gramStart"/>
      <w:r w:rsidRPr="00891A3C">
        <w:rPr>
          <w:rFonts w:ascii="Arial" w:eastAsia="Times New Roman" w:hAnsi="Arial" w:cs="Arial"/>
          <w:color w:val="000000"/>
          <w:sz w:val="21"/>
          <w:szCs w:val="21"/>
          <w:lang w:eastAsia="ru-RU"/>
        </w:rPr>
        <w:t>713  больных</w:t>
      </w:r>
      <w:proofErr w:type="gramEnd"/>
      <w:r w:rsidRPr="00891A3C">
        <w:rPr>
          <w:rFonts w:ascii="Arial" w:eastAsia="Times New Roman" w:hAnsi="Arial" w:cs="Arial"/>
          <w:color w:val="000000"/>
          <w:sz w:val="21"/>
          <w:szCs w:val="21"/>
          <w:lang w:eastAsia="ru-RU"/>
        </w:rPr>
        <w:t xml:space="preserve"> ВИЧ-инфекцией (на 8,2% больше, чем за аналогичный период 2016 г.) по данным формы мониторинга </w:t>
      </w:r>
      <w:proofErr w:type="spellStart"/>
      <w:r w:rsidRPr="00891A3C">
        <w:rPr>
          <w:rFonts w:ascii="Arial" w:eastAsia="Times New Roman" w:hAnsi="Arial" w:cs="Arial"/>
          <w:color w:val="000000"/>
          <w:sz w:val="21"/>
          <w:szCs w:val="21"/>
          <w:lang w:eastAsia="ru-RU"/>
        </w:rPr>
        <w:t>Роспотребнадзора</w:t>
      </w:r>
      <w:proofErr w:type="spellEnd"/>
      <w:r w:rsidRPr="00891A3C">
        <w:rPr>
          <w:rFonts w:ascii="Arial" w:eastAsia="Times New Roman" w:hAnsi="Arial" w:cs="Arial"/>
          <w:color w:val="000000"/>
          <w:sz w:val="21"/>
          <w:szCs w:val="21"/>
          <w:lang w:eastAsia="ru-RU"/>
        </w:rPr>
        <w:t xml:space="preserve"> «Сведения о мероприятиях по профилактике ВИЧ-инфекции, гепатитов В и С, выявлению и лечению больных ВИЧ». </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 xml:space="preserve">На диспансерном учете в связи с ВИЧ-инфекцией в 2017 году состояло 709 022 инфицированных ВИЧ, что составило 76,7% от </w:t>
      </w:r>
      <w:proofErr w:type="gramStart"/>
      <w:r w:rsidRPr="00891A3C">
        <w:rPr>
          <w:rFonts w:ascii="Arial" w:eastAsia="Times New Roman" w:hAnsi="Arial" w:cs="Arial"/>
          <w:color w:val="000000"/>
          <w:sz w:val="21"/>
          <w:szCs w:val="21"/>
          <w:lang w:eastAsia="ru-RU"/>
        </w:rPr>
        <w:t>числа  живших</w:t>
      </w:r>
      <w:proofErr w:type="gramEnd"/>
      <w:r w:rsidRPr="00891A3C">
        <w:rPr>
          <w:rFonts w:ascii="Arial" w:eastAsia="Times New Roman" w:hAnsi="Arial" w:cs="Arial"/>
          <w:color w:val="000000"/>
          <w:sz w:val="21"/>
          <w:szCs w:val="21"/>
          <w:lang w:eastAsia="ru-RU"/>
        </w:rPr>
        <w:t xml:space="preserve"> с диагнозом ВИЧ-инфекция. В 2017 г. в России получали антиретровирусную терапию 328 138 пациентов (включая больных, находившихся в местах лишения свободы), из них прервали АРТ 21903 пациентов в 2017 г. Охват лечением в 2017 году в Российской Федерации составил 35,5% от числа живущих с диагнозом ВИЧ-инфекция; среди состоявших на диспансерном наблюдении было охвачено антиретровирусной терапией 46,3% больных. Достигнутый охват лечением не позволяет радикально снизить темпы распространения заболевания.</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 xml:space="preserve">За 10 месяцев 2017 г. в России было протестировано на ВИЧ 27 330 821 образцов крови российских граждан, что на 10,8% больше по сравнению с аналогичным периодом 2016 г. Доля представителей уязвимых групп населения среди обследованных </w:t>
      </w:r>
      <w:proofErr w:type="gramStart"/>
      <w:r w:rsidRPr="00891A3C">
        <w:rPr>
          <w:rFonts w:ascii="Arial" w:eastAsia="Times New Roman" w:hAnsi="Arial" w:cs="Arial"/>
          <w:color w:val="000000"/>
          <w:sz w:val="21"/>
          <w:szCs w:val="21"/>
          <w:lang w:eastAsia="ru-RU"/>
        </w:rPr>
        <w:t>по прежнему</w:t>
      </w:r>
      <w:proofErr w:type="gramEnd"/>
      <w:r w:rsidRPr="00891A3C">
        <w:rPr>
          <w:rFonts w:ascii="Arial" w:eastAsia="Times New Roman" w:hAnsi="Arial" w:cs="Arial"/>
          <w:color w:val="000000"/>
          <w:sz w:val="21"/>
          <w:szCs w:val="21"/>
          <w:lang w:eastAsia="ru-RU"/>
        </w:rPr>
        <w:t xml:space="preserve"> была низкой (менее 5%).</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 xml:space="preserve">В 2007 г. при поддержке </w:t>
      </w:r>
      <w:proofErr w:type="spellStart"/>
      <w:r w:rsidRPr="00891A3C">
        <w:rPr>
          <w:rFonts w:ascii="Arial" w:eastAsia="Times New Roman" w:hAnsi="Arial" w:cs="Arial"/>
          <w:color w:val="000000"/>
          <w:sz w:val="21"/>
          <w:szCs w:val="21"/>
          <w:lang w:eastAsia="ru-RU"/>
        </w:rPr>
        <w:t>Роспотребнадзора</w:t>
      </w:r>
      <w:proofErr w:type="spellEnd"/>
      <w:r w:rsidRPr="00891A3C">
        <w:rPr>
          <w:rFonts w:ascii="Arial" w:eastAsia="Times New Roman" w:hAnsi="Arial" w:cs="Arial"/>
          <w:color w:val="000000"/>
          <w:sz w:val="21"/>
          <w:szCs w:val="21"/>
          <w:lang w:eastAsia="ru-RU"/>
        </w:rPr>
        <w:t xml:space="preserve"> фондом «Открытый Институт здоровья населения» были проведены </w:t>
      </w:r>
      <w:proofErr w:type="spellStart"/>
      <w:r w:rsidRPr="00891A3C">
        <w:rPr>
          <w:rFonts w:ascii="Arial" w:eastAsia="Times New Roman" w:hAnsi="Arial" w:cs="Arial"/>
          <w:color w:val="000000"/>
          <w:sz w:val="21"/>
          <w:szCs w:val="21"/>
          <w:lang w:eastAsia="ru-RU"/>
        </w:rPr>
        <w:t>био</w:t>
      </w:r>
      <w:proofErr w:type="spellEnd"/>
      <w:r w:rsidRPr="00891A3C">
        <w:rPr>
          <w:rFonts w:ascii="Arial" w:eastAsia="Times New Roman" w:hAnsi="Arial" w:cs="Arial"/>
          <w:color w:val="000000"/>
          <w:sz w:val="21"/>
          <w:szCs w:val="21"/>
          <w:lang w:eastAsia="ru-RU"/>
        </w:rPr>
        <w:t>-поведенческие исследования среди ключевых уязвимых групп населения (ПИН, МСМ, КСР) в 7 крупных городах Российской Федерации. Всего было обследовано на ВИЧ и опрошено по специальным анкетам 3 744 человек.</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 </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Пораженность ВИЧ-инфекцией ключевых групп, по данным исследования (95% доверительные интервалы в группах ПИН/МСМ оценки по RDS-I).</w:t>
      </w:r>
    </w:p>
    <w:tbl>
      <w:tblPr>
        <w:tblW w:w="6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1140"/>
        <w:gridCol w:w="1590"/>
        <w:gridCol w:w="1575"/>
      </w:tblGrid>
      <w:tr w:rsidR="00891A3C" w:rsidRPr="00891A3C" w:rsidTr="00891A3C">
        <w:tc>
          <w:tcPr>
            <w:tcW w:w="2055"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rPr>
                <w:rFonts w:ascii="Times New Roman" w:eastAsia="Times New Roman" w:hAnsi="Times New Roman" w:cs="Times New Roman"/>
                <w:sz w:val="21"/>
                <w:szCs w:val="21"/>
                <w:lang w:eastAsia="ru-RU"/>
              </w:rPr>
            </w:pPr>
            <w:r w:rsidRPr="00891A3C">
              <w:rPr>
                <w:rFonts w:ascii="Times New Roman" w:eastAsia="Times New Roman" w:hAnsi="Times New Roman" w:cs="Times New Roman"/>
                <w:b/>
                <w:bCs/>
                <w:sz w:val="21"/>
                <w:szCs w:val="21"/>
                <w:lang w:eastAsia="ru-RU"/>
              </w:rPr>
              <w:t>Город</w:t>
            </w:r>
          </w:p>
        </w:tc>
        <w:tc>
          <w:tcPr>
            <w:tcW w:w="114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b/>
                <w:bCs/>
                <w:sz w:val="21"/>
                <w:szCs w:val="21"/>
                <w:lang w:eastAsia="ru-RU"/>
              </w:rPr>
              <w:t>ПИН</w:t>
            </w:r>
          </w:p>
        </w:tc>
        <w:tc>
          <w:tcPr>
            <w:tcW w:w="159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b/>
                <w:bCs/>
                <w:sz w:val="21"/>
                <w:szCs w:val="21"/>
                <w:lang w:eastAsia="ru-RU"/>
              </w:rPr>
              <w:t>МСМ</w:t>
            </w:r>
          </w:p>
        </w:tc>
        <w:tc>
          <w:tcPr>
            <w:tcW w:w="1590" w:type="dxa"/>
            <w:tcBorders>
              <w:top w:val="outset" w:sz="6" w:space="0" w:color="auto"/>
              <w:left w:val="outset" w:sz="6" w:space="0" w:color="auto"/>
              <w:bottom w:val="outset" w:sz="6" w:space="0" w:color="auto"/>
              <w:right w:val="outset" w:sz="6" w:space="0" w:color="auto"/>
            </w:tcBorders>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b/>
                <w:bCs/>
                <w:sz w:val="21"/>
                <w:szCs w:val="21"/>
                <w:lang w:eastAsia="ru-RU"/>
              </w:rPr>
              <w:t>КСР</w:t>
            </w:r>
          </w:p>
        </w:tc>
      </w:tr>
      <w:tr w:rsidR="00891A3C" w:rsidRPr="00891A3C" w:rsidTr="00891A3C">
        <w:tc>
          <w:tcPr>
            <w:tcW w:w="2055"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Екатеринбург</w:t>
            </w:r>
          </w:p>
        </w:tc>
        <w:tc>
          <w:tcPr>
            <w:tcW w:w="114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57,2% </w:t>
            </w:r>
            <w:r w:rsidRPr="00891A3C">
              <w:rPr>
                <w:rFonts w:ascii="Times New Roman" w:eastAsia="Times New Roman" w:hAnsi="Times New Roman" w:cs="Times New Roman"/>
                <w:i/>
                <w:iCs/>
                <w:sz w:val="21"/>
                <w:szCs w:val="21"/>
                <w:lang w:eastAsia="ru-RU"/>
              </w:rPr>
              <w:t>(50,7-63,7)</w:t>
            </w:r>
          </w:p>
        </w:tc>
        <w:tc>
          <w:tcPr>
            <w:tcW w:w="159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16,5%</w:t>
            </w:r>
          </w:p>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i/>
                <w:iCs/>
                <w:sz w:val="21"/>
                <w:szCs w:val="21"/>
                <w:lang w:eastAsia="ru-RU"/>
              </w:rPr>
              <w:t>(11,5-21,4)</w:t>
            </w:r>
          </w:p>
        </w:tc>
        <w:tc>
          <w:tcPr>
            <w:tcW w:w="1590" w:type="dxa"/>
            <w:tcBorders>
              <w:top w:val="outset" w:sz="6" w:space="0" w:color="auto"/>
              <w:left w:val="outset" w:sz="6" w:space="0" w:color="auto"/>
              <w:bottom w:val="outset" w:sz="6" w:space="0" w:color="auto"/>
              <w:right w:val="outset" w:sz="6" w:space="0" w:color="auto"/>
            </w:tcBorders>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14,2%</w:t>
            </w:r>
          </w:p>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i/>
                <w:iCs/>
                <w:sz w:val="21"/>
                <w:szCs w:val="21"/>
                <w:lang w:eastAsia="ru-RU"/>
              </w:rPr>
              <w:t>(6,2-22,2)</w:t>
            </w:r>
          </w:p>
        </w:tc>
      </w:tr>
      <w:tr w:rsidR="00891A3C" w:rsidRPr="00891A3C" w:rsidTr="00891A3C">
        <w:tc>
          <w:tcPr>
            <w:tcW w:w="2055"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Кемерово</w:t>
            </w:r>
          </w:p>
        </w:tc>
        <w:tc>
          <w:tcPr>
            <w:tcW w:w="114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75,2% </w:t>
            </w:r>
            <w:r w:rsidRPr="00891A3C">
              <w:rPr>
                <w:rFonts w:ascii="Times New Roman" w:eastAsia="Times New Roman" w:hAnsi="Times New Roman" w:cs="Times New Roman"/>
                <w:i/>
                <w:iCs/>
                <w:sz w:val="21"/>
                <w:szCs w:val="21"/>
                <w:lang w:eastAsia="ru-RU"/>
              </w:rPr>
              <w:t>(69,9-80,6)</w:t>
            </w:r>
          </w:p>
        </w:tc>
        <w:tc>
          <w:tcPr>
            <w:tcW w:w="159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0" w:line="240" w:lineRule="auto"/>
              <w:rPr>
                <w:rFonts w:ascii="Times New Roman" w:eastAsia="Times New Roman" w:hAnsi="Times New Roman" w:cs="Times New Roman"/>
                <w:sz w:val="21"/>
                <w:szCs w:val="21"/>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 </w:t>
            </w:r>
          </w:p>
        </w:tc>
      </w:tr>
      <w:tr w:rsidR="00891A3C" w:rsidRPr="00891A3C" w:rsidTr="00891A3C">
        <w:tc>
          <w:tcPr>
            <w:tcW w:w="2055"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Красноярск</w:t>
            </w:r>
          </w:p>
        </w:tc>
        <w:tc>
          <w:tcPr>
            <w:tcW w:w="114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48,1% </w:t>
            </w:r>
            <w:r w:rsidRPr="00891A3C">
              <w:rPr>
                <w:rFonts w:ascii="Times New Roman" w:eastAsia="Times New Roman" w:hAnsi="Times New Roman" w:cs="Times New Roman"/>
                <w:i/>
                <w:iCs/>
                <w:sz w:val="21"/>
                <w:szCs w:val="21"/>
                <w:lang w:eastAsia="ru-RU"/>
              </w:rPr>
              <w:t>(42,2-54,1)</w:t>
            </w:r>
          </w:p>
        </w:tc>
        <w:tc>
          <w:tcPr>
            <w:tcW w:w="159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0" w:line="240" w:lineRule="auto"/>
              <w:rPr>
                <w:rFonts w:ascii="Times New Roman" w:eastAsia="Times New Roman" w:hAnsi="Times New Roman" w:cs="Times New Roman"/>
                <w:sz w:val="21"/>
                <w:szCs w:val="21"/>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5,4%</w:t>
            </w:r>
          </w:p>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i/>
                <w:iCs/>
                <w:sz w:val="21"/>
                <w:szCs w:val="21"/>
                <w:lang w:eastAsia="ru-RU"/>
              </w:rPr>
              <w:t>(2,3-8,5)</w:t>
            </w:r>
          </w:p>
        </w:tc>
      </w:tr>
      <w:tr w:rsidR="00891A3C" w:rsidRPr="00891A3C" w:rsidTr="00891A3C">
        <w:tc>
          <w:tcPr>
            <w:tcW w:w="2055"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Москва</w:t>
            </w:r>
          </w:p>
        </w:tc>
        <w:tc>
          <w:tcPr>
            <w:tcW w:w="114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0" w:line="240" w:lineRule="auto"/>
              <w:rPr>
                <w:rFonts w:ascii="Times New Roman" w:eastAsia="Times New Roman" w:hAnsi="Times New Roman" w:cs="Times New Roman"/>
                <w:sz w:val="21"/>
                <w:szCs w:val="21"/>
                <w:lang w:eastAsia="ru-RU"/>
              </w:rPr>
            </w:pPr>
          </w:p>
        </w:tc>
        <w:tc>
          <w:tcPr>
            <w:tcW w:w="159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7,1%</w:t>
            </w:r>
          </w:p>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i/>
                <w:iCs/>
                <w:sz w:val="21"/>
                <w:szCs w:val="21"/>
                <w:lang w:eastAsia="ru-RU"/>
              </w:rPr>
              <w:t>(4,1-10,1)</w:t>
            </w:r>
          </w:p>
        </w:tc>
        <w:tc>
          <w:tcPr>
            <w:tcW w:w="1590" w:type="dxa"/>
            <w:tcBorders>
              <w:top w:val="outset" w:sz="6" w:space="0" w:color="auto"/>
              <w:left w:val="outset" w:sz="6" w:space="0" w:color="auto"/>
              <w:bottom w:val="outset" w:sz="6" w:space="0" w:color="auto"/>
              <w:right w:val="outset" w:sz="6" w:space="0" w:color="auto"/>
            </w:tcBorders>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 </w:t>
            </w:r>
          </w:p>
        </w:tc>
      </w:tr>
      <w:tr w:rsidR="00891A3C" w:rsidRPr="00891A3C" w:rsidTr="00891A3C">
        <w:tc>
          <w:tcPr>
            <w:tcW w:w="2055"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Пермь</w:t>
            </w:r>
          </w:p>
        </w:tc>
        <w:tc>
          <w:tcPr>
            <w:tcW w:w="114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64,6% </w:t>
            </w:r>
            <w:r w:rsidRPr="00891A3C">
              <w:rPr>
                <w:rFonts w:ascii="Times New Roman" w:eastAsia="Times New Roman" w:hAnsi="Times New Roman" w:cs="Times New Roman"/>
                <w:i/>
                <w:iCs/>
                <w:sz w:val="21"/>
                <w:szCs w:val="21"/>
                <w:lang w:eastAsia="ru-RU"/>
              </w:rPr>
              <w:t>(58,5-70,7)</w:t>
            </w:r>
          </w:p>
        </w:tc>
        <w:tc>
          <w:tcPr>
            <w:tcW w:w="159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0" w:line="240" w:lineRule="auto"/>
              <w:rPr>
                <w:rFonts w:ascii="Times New Roman" w:eastAsia="Times New Roman" w:hAnsi="Times New Roman" w:cs="Times New Roman"/>
                <w:sz w:val="21"/>
                <w:szCs w:val="21"/>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15,0%</w:t>
            </w:r>
          </w:p>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i/>
                <w:iCs/>
                <w:sz w:val="21"/>
                <w:szCs w:val="21"/>
                <w:lang w:eastAsia="ru-RU"/>
              </w:rPr>
              <w:t>(11,5-18,6)</w:t>
            </w:r>
          </w:p>
        </w:tc>
      </w:tr>
      <w:tr w:rsidR="00891A3C" w:rsidRPr="00891A3C" w:rsidTr="00891A3C">
        <w:tc>
          <w:tcPr>
            <w:tcW w:w="2055"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lastRenderedPageBreak/>
              <w:t>Санкт-Петербург</w:t>
            </w:r>
          </w:p>
        </w:tc>
        <w:tc>
          <w:tcPr>
            <w:tcW w:w="114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48,3% </w:t>
            </w:r>
            <w:r w:rsidRPr="00891A3C">
              <w:rPr>
                <w:rFonts w:ascii="Times New Roman" w:eastAsia="Times New Roman" w:hAnsi="Times New Roman" w:cs="Times New Roman"/>
                <w:i/>
                <w:iCs/>
                <w:sz w:val="21"/>
                <w:szCs w:val="21"/>
                <w:lang w:eastAsia="ru-RU"/>
              </w:rPr>
              <w:t>(42,3-54,3)</w:t>
            </w:r>
          </w:p>
        </w:tc>
        <w:tc>
          <w:tcPr>
            <w:tcW w:w="159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22,8%</w:t>
            </w:r>
          </w:p>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i/>
                <w:iCs/>
                <w:sz w:val="21"/>
                <w:szCs w:val="21"/>
                <w:lang w:eastAsia="ru-RU"/>
              </w:rPr>
              <w:t>(17,9-27,7)</w:t>
            </w:r>
          </w:p>
        </w:tc>
        <w:tc>
          <w:tcPr>
            <w:tcW w:w="1590" w:type="dxa"/>
            <w:tcBorders>
              <w:top w:val="outset" w:sz="6" w:space="0" w:color="auto"/>
              <w:left w:val="outset" w:sz="6" w:space="0" w:color="auto"/>
              <w:bottom w:val="outset" w:sz="6" w:space="0" w:color="auto"/>
              <w:right w:val="outset" w:sz="6" w:space="0" w:color="auto"/>
            </w:tcBorders>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2,3%</w:t>
            </w:r>
          </w:p>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i/>
                <w:iCs/>
                <w:sz w:val="21"/>
                <w:szCs w:val="21"/>
                <w:lang w:eastAsia="ru-RU"/>
              </w:rPr>
              <w:t>(0,5-4,2)</w:t>
            </w:r>
          </w:p>
        </w:tc>
      </w:tr>
      <w:tr w:rsidR="00891A3C" w:rsidRPr="00891A3C" w:rsidTr="00891A3C">
        <w:tc>
          <w:tcPr>
            <w:tcW w:w="2055"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Томск</w:t>
            </w:r>
          </w:p>
        </w:tc>
        <w:tc>
          <w:tcPr>
            <w:tcW w:w="114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63,2% </w:t>
            </w:r>
            <w:r w:rsidRPr="00891A3C">
              <w:rPr>
                <w:rFonts w:ascii="Times New Roman" w:eastAsia="Times New Roman" w:hAnsi="Times New Roman" w:cs="Times New Roman"/>
                <w:i/>
                <w:iCs/>
                <w:sz w:val="21"/>
                <w:szCs w:val="21"/>
                <w:lang w:eastAsia="ru-RU"/>
              </w:rPr>
              <w:t>(57,4-69,0)</w:t>
            </w:r>
          </w:p>
        </w:tc>
        <w:tc>
          <w:tcPr>
            <w:tcW w:w="1590" w:type="dxa"/>
            <w:tcBorders>
              <w:top w:val="outset" w:sz="6" w:space="0" w:color="auto"/>
              <w:left w:val="outset" w:sz="6" w:space="0" w:color="auto"/>
              <w:bottom w:val="outset" w:sz="6" w:space="0" w:color="auto"/>
              <w:right w:val="outset" w:sz="6" w:space="0" w:color="auto"/>
            </w:tcBorders>
            <w:noWrap/>
            <w:hideMark/>
          </w:tcPr>
          <w:p w:rsidR="00891A3C" w:rsidRPr="00891A3C" w:rsidRDefault="00891A3C" w:rsidP="00891A3C">
            <w:pPr>
              <w:spacing w:after="0" w:line="240" w:lineRule="auto"/>
              <w:rPr>
                <w:rFonts w:ascii="Times New Roman" w:eastAsia="Times New Roman" w:hAnsi="Times New Roman" w:cs="Times New Roman"/>
                <w:sz w:val="21"/>
                <w:szCs w:val="21"/>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891A3C" w:rsidRPr="00891A3C" w:rsidRDefault="00891A3C" w:rsidP="00891A3C">
            <w:pPr>
              <w:spacing w:after="150" w:line="312" w:lineRule="atLeast"/>
              <w:jc w:val="center"/>
              <w:rPr>
                <w:rFonts w:ascii="Times New Roman" w:eastAsia="Times New Roman" w:hAnsi="Times New Roman" w:cs="Times New Roman"/>
                <w:sz w:val="21"/>
                <w:szCs w:val="21"/>
                <w:lang w:eastAsia="ru-RU"/>
              </w:rPr>
            </w:pPr>
            <w:r w:rsidRPr="00891A3C">
              <w:rPr>
                <w:rFonts w:ascii="Times New Roman" w:eastAsia="Times New Roman" w:hAnsi="Times New Roman" w:cs="Times New Roman"/>
                <w:sz w:val="21"/>
                <w:szCs w:val="21"/>
                <w:lang w:eastAsia="ru-RU"/>
              </w:rPr>
              <w:t> </w:t>
            </w:r>
          </w:p>
        </w:tc>
      </w:tr>
    </w:tbl>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 xml:space="preserve">По результатам исследования была выявлены высокая пораженность ВИЧ-инфекцией практически среди всех указанных групп населения. </w:t>
      </w:r>
      <w:proofErr w:type="spellStart"/>
      <w:r w:rsidRPr="00891A3C">
        <w:rPr>
          <w:rFonts w:ascii="Arial" w:eastAsia="Times New Roman" w:hAnsi="Arial" w:cs="Arial"/>
          <w:color w:val="000000"/>
          <w:sz w:val="21"/>
          <w:szCs w:val="21"/>
          <w:lang w:eastAsia="ru-RU"/>
        </w:rPr>
        <w:t>Cреди</w:t>
      </w:r>
      <w:proofErr w:type="spellEnd"/>
      <w:r w:rsidRPr="00891A3C">
        <w:rPr>
          <w:rFonts w:ascii="Arial" w:eastAsia="Times New Roman" w:hAnsi="Arial" w:cs="Arial"/>
          <w:color w:val="000000"/>
          <w:sz w:val="21"/>
          <w:szCs w:val="21"/>
          <w:lang w:eastAsia="ru-RU"/>
        </w:rPr>
        <w:t xml:space="preserve"> группы ПИН в изученных городах более половины были инфицированы ВИЧ, среди МСМ от 7% до 23%. Полученные данные свидетельств</w:t>
      </w:r>
      <w:r>
        <w:rPr>
          <w:rFonts w:ascii="Arial" w:eastAsia="Times New Roman" w:hAnsi="Arial" w:cs="Arial"/>
          <w:color w:val="000000"/>
          <w:sz w:val="21"/>
          <w:szCs w:val="21"/>
          <w:lang w:eastAsia="ru-RU"/>
        </w:rPr>
        <w:t>уют о продолжении </w:t>
      </w:r>
      <w:r w:rsidRPr="00891A3C">
        <w:rPr>
          <w:rFonts w:ascii="Arial" w:eastAsia="Times New Roman" w:hAnsi="Arial" w:cs="Arial"/>
          <w:color w:val="000000"/>
          <w:sz w:val="21"/>
          <w:szCs w:val="21"/>
          <w:lang w:eastAsia="ru-RU"/>
        </w:rPr>
        <w:t>в 2017 г. активного распространения ВИЧ-инфекции в уязвимых группах населения. При этом, высокая распространенность опасного сексуального поведения в этих группах способствует распространению ВИЧ-инфекции половым путем.</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  В последние два года существенно выросла роль полового пути передачи ВИЧ-инфекции. По предварительным данным среди впервые выявленных в 2017 г. ВИЧ-позитивных с установленными факторами риска заражения 50,0% инфицировались при гетеросексуальных контактах, 2,3% – при гомосексуальных контактах, 46,1% – при употреблении наркотиков нестерильным инструментарием. 1,4% приходилось на детей, рожденных ВИЧ-инфицированными матерями. За 10 месяцев текущего года зарегистрирова</w:t>
      </w:r>
      <w:r>
        <w:rPr>
          <w:rFonts w:ascii="Arial" w:eastAsia="Times New Roman" w:hAnsi="Arial" w:cs="Arial"/>
          <w:color w:val="000000"/>
          <w:sz w:val="21"/>
          <w:szCs w:val="21"/>
          <w:lang w:eastAsia="ru-RU"/>
        </w:rPr>
        <w:t>но 12 случаев с подозрением на </w:t>
      </w:r>
      <w:r w:rsidRPr="00891A3C">
        <w:rPr>
          <w:rFonts w:ascii="Arial" w:eastAsia="Times New Roman" w:hAnsi="Arial" w:cs="Arial"/>
          <w:color w:val="000000"/>
          <w:sz w:val="21"/>
          <w:szCs w:val="21"/>
          <w:lang w:eastAsia="ru-RU"/>
        </w:rPr>
        <w:t>заражение ВИЧ при оказании медицинской помощи.   Кроме того, было зарегистрировано 12 случаев заражения ВИЧ в местах лишения свободы при использовании нестерильного инструментария в немедицинских целях.</w:t>
      </w:r>
    </w:p>
    <w:p w:rsidR="00891A3C" w:rsidRPr="00891A3C" w:rsidRDefault="00891A3C" w:rsidP="00891A3C">
      <w:pPr>
        <w:shd w:val="clear" w:color="auto" w:fill="FFFFFF"/>
        <w:spacing w:after="150" w:line="312" w:lineRule="atLeast"/>
        <w:jc w:val="both"/>
        <w:rPr>
          <w:rFonts w:ascii="Arial" w:eastAsia="Times New Roman" w:hAnsi="Arial" w:cs="Arial"/>
          <w:color w:val="000000"/>
          <w:sz w:val="21"/>
          <w:szCs w:val="21"/>
          <w:lang w:eastAsia="ru-RU"/>
        </w:rPr>
      </w:pPr>
      <w:r w:rsidRPr="00891A3C">
        <w:rPr>
          <w:rFonts w:ascii="Arial" w:eastAsia="Times New Roman" w:hAnsi="Arial" w:cs="Arial"/>
          <w:color w:val="000000"/>
          <w:sz w:val="21"/>
          <w:szCs w:val="21"/>
          <w:lang w:eastAsia="ru-RU"/>
        </w:rPr>
        <w:t>Таким образом, в стране в 2017 г. эпидемическая ситуация по ВИЧ-инфекции продолжала ухудшаться. Сохранялся высокий уровень заболеваемости ВИЧ-инфекцией, увеличивалось общее число и число смертей ВИЧ-инфицированных, активизировался выход эпидемии из уязвимых групп населения в общую популяцию. При сохранении нынешних темпов распространения ВИЧ-инфекции и отсутствии адекватных системных мероприятий по предупреждению ее распространения прогноз развития ситуации остается неблагоприятным. Требуется активизировать организационные и профилактические мероприятия по противодействию эпидемии ВИЧ-инфекции в стране.</w:t>
      </w:r>
    </w:p>
    <w:p w:rsidR="00D11348" w:rsidRPr="00CD100F" w:rsidRDefault="00D11348" w:rsidP="00CD100F">
      <w:pPr>
        <w:tabs>
          <w:tab w:val="left" w:pos="1770"/>
        </w:tabs>
      </w:pPr>
      <w:bookmarkStart w:id="0" w:name="_GoBack"/>
      <w:bookmarkEnd w:id="0"/>
    </w:p>
    <w:sectPr w:rsidR="00D11348" w:rsidRPr="00CD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0F"/>
    <w:rsid w:val="00891A3C"/>
    <w:rsid w:val="00CD100F"/>
    <w:rsid w:val="00D1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91AE"/>
  <w15:chartTrackingRefBased/>
  <w15:docId w15:val="{C22A1C2C-72A4-4B94-86F2-E57789E1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D10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100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D1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1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8431">
      <w:bodyDiv w:val="1"/>
      <w:marLeft w:val="0"/>
      <w:marRight w:val="0"/>
      <w:marTop w:val="0"/>
      <w:marBottom w:val="0"/>
      <w:divBdr>
        <w:top w:val="none" w:sz="0" w:space="0" w:color="auto"/>
        <w:left w:val="none" w:sz="0" w:space="0" w:color="auto"/>
        <w:bottom w:val="none" w:sz="0" w:space="0" w:color="auto"/>
        <w:right w:val="none" w:sz="0" w:space="0" w:color="auto"/>
      </w:divBdr>
      <w:divsChild>
        <w:div w:id="1622031812">
          <w:marLeft w:val="0"/>
          <w:marRight w:val="0"/>
          <w:marTop w:val="0"/>
          <w:marBottom w:val="0"/>
          <w:divBdr>
            <w:top w:val="none" w:sz="0" w:space="0" w:color="auto"/>
            <w:left w:val="none" w:sz="0" w:space="0" w:color="auto"/>
            <w:bottom w:val="none" w:sz="0" w:space="0" w:color="auto"/>
            <w:right w:val="none" w:sz="0" w:space="0" w:color="auto"/>
          </w:divBdr>
        </w:div>
      </w:divsChild>
    </w:div>
    <w:div w:id="664937297">
      <w:bodyDiv w:val="1"/>
      <w:marLeft w:val="0"/>
      <w:marRight w:val="0"/>
      <w:marTop w:val="0"/>
      <w:marBottom w:val="0"/>
      <w:divBdr>
        <w:top w:val="none" w:sz="0" w:space="0" w:color="auto"/>
        <w:left w:val="none" w:sz="0" w:space="0" w:color="auto"/>
        <w:bottom w:val="none" w:sz="0" w:space="0" w:color="auto"/>
        <w:right w:val="none" w:sz="0" w:space="0" w:color="auto"/>
      </w:divBdr>
      <w:divsChild>
        <w:div w:id="209390827">
          <w:marLeft w:val="0"/>
          <w:marRight w:val="0"/>
          <w:marTop w:val="0"/>
          <w:marBottom w:val="0"/>
          <w:divBdr>
            <w:top w:val="none" w:sz="0" w:space="0" w:color="auto"/>
            <w:left w:val="none" w:sz="0" w:space="0" w:color="auto"/>
            <w:bottom w:val="none" w:sz="0" w:space="0" w:color="auto"/>
            <w:right w:val="none" w:sz="0" w:space="0" w:color="auto"/>
          </w:divBdr>
        </w:div>
      </w:divsChild>
    </w:div>
    <w:div w:id="777986193">
      <w:bodyDiv w:val="1"/>
      <w:marLeft w:val="0"/>
      <w:marRight w:val="0"/>
      <w:marTop w:val="0"/>
      <w:marBottom w:val="0"/>
      <w:divBdr>
        <w:top w:val="none" w:sz="0" w:space="0" w:color="auto"/>
        <w:left w:val="none" w:sz="0" w:space="0" w:color="auto"/>
        <w:bottom w:val="none" w:sz="0" w:space="0" w:color="auto"/>
        <w:right w:val="none" w:sz="0" w:space="0" w:color="auto"/>
      </w:divBdr>
      <w:divsChild>
        <w:div w:id="126434843">
          <w:marLeft w:val="0"/>
          <w:marRight w:val="0"/>
          <w:marTop w:val="0"/>
          <w:marBottom w:val="0"/>
          <w:divBdr>
            <w:top w:val="none" w:sz="0" w:space="0" w:color="auto"/>
            <w:left w:val="none" w:sz="0" w:space="0" w:color="auto"/>
            <w:bottom w:val="none" w:sz="0" w:space="0" w:color="auto"/>
            <w:right w:val="none" w:sz="0" w:space="0" w:color="auto"/>
          </w:divBdr>
        </w:div>
      </w:divsChild>
    </w:div>
    <w:div w:id="1414281995">
      <w:bodyDiv w:val="1"/>
      <w:marLeft w:val="0"/>
      <w:marRight w:val="0"/>
      <w:marTop w:val="0"/>
      <w:marBottom w:val="0"/>
      <w:divBdr>
        <w:top w:val="none" w:sz="0" w:space="0" w:color="auto"/>
        <w:left w:val="none" w:sz="0" w:space="0" w:color="auto"/>
        <w:bottom w:val="none" w:sz="0" w:space="0" w:color="auto"/>
        <w:right w:val="none" w:sz="0" w:space="0" w:color="auto"/>
      </w:divBdr>
    </w:div>
    <w:div w:id="1434010214">
      <w:bodyDiv w:val="1"/>
      <w:marLeft w:val="0"/>
      <w:marRight w:val="0"/>
      <w:marTop w:val="0"/>
      <w:marBottom w:val="0"/>
      <w:divBdr>
        <w:top w:val="none" w:sz="0" w:space="0" w:color="auto"/>
        <w:left w:val="none" w:sz="0" w:space="0" w:color="auto"/>
        <w:bottom w:val="none" w:sz="0" w:space="0" w:color="auto"/>
        <w:right w:val="none" w:sz="0" w:space="0" w:color="auto"/>
      </w:divBdr>
      <w:divsChild>
        <w:div w:id="2112582926">
          <w:marLeft w:val="0"/>
          <w:marRight w:val="0"/>
          <w:marTop w:val="0"/>
          <w:marBottom w:val="0"/>
          <w:divBdr>
            <w:top w:val="none" w:sz="0" w:space="0" w:color="auto"/>
            <w:left w:val="none" w:sz="0" w:space="0" w:color="auto"/>
            <w:bottom w:val="none" w:sz="0" w:space="0" w:color="auto"/>
            <w:right w:val="none" w:sz="0" w:space="0" w:color="auto"/>
          </w:divBdr>
        </w:div>
      </w:divsChild>
    </w:div>
    <w:div w:id="1718704526">
      <w:bodyDiv w:val="1"/>
      <w:marLeft w:val="0"/>
      <w:marRight w:val="0"/>
      <w:marTop w:val="0"/>
      <w:marBottom w:val="0"/>
      <w:divBdr>
        <w:top w:val="none" w:sz="0" w:space="0" w:color="auto"/>
        <w:left w:val="none" w:sz="0" w:space="0" w:color="auto"/>
        <w:bottom w:val="none" w:sz="0" w:space="0" w:color="auto"/>
        <w:right w:val="none" w:sz="0" w:space="0" w:color="auto"/>
      </w:divBdr>
      <w:divsChild>
        <w:div w:id="53192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2017-12-19T05:36:00Z</dcterms:created>
  <dcterms:modified xsi:type="dcterms:W3CDTF">2017-12-19T05:42:00Z</dcterms:modified>
</cp:coreProperties>
</file>